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3B" w:rsidRPr="00B4323B" w:rsidRDefault="00B4323B" w:rsidP="00B4323B">
      <w:pPr>
        <w:spacing w:line="240" w:lineRule="auto"/>
        <w:jc w:val="center"/>
        <w:rPr>
          <w:rFonts w:ascii="Segoe UI" w:eastAsia="Times New Roman" w:hAnsi="Segoe UI" w:cs="Segoe UI"/>
          <w:b/>
          <w:color w:val="0000FF"/>
          <w:sz w:val="28"/>
          <w:lang w:eastAsia="es-CO"/>
        </w:rPr>
      </w:pPr>
      <w:r w:rsidRPr="00B4323B">
        <w:rPr>
          <w:rFonts w:ascii="Segoe UI" w:eastAsia="Times New Roman" w:hAnsi="Segoe UI" w:cs="Segoe UI"/>
          <w:b/>
          <w:bCs/>
          <w:color w:val="0000FF"/>
          <w:sz w:val="28"/>
          <w:lang w:eastAsia="es-CO"/>
        </w:rPr>
        <w:t>DECRETO N° 2876</w:t>
      </w:r>
    </w:p>
    <w:p w:rsidR="00B4323B" w:rsidRPr="00B4323B" w:rsidRDefault="00B4323B" w:rsidP="00B4323B">
      <w:pPr>
        <w:spacing w:line="240" w:lineRule="auto"/>
        <w:jc w:val="center"/>
        <w:rPr>
          <w:rFonts w:ascii="Segoe UI" w:eastAsia="Times New Roman" w:hAnsi="Segoe UI" w:cs="Segoe UI"/>
          <w:b/>
          <w:color w:val="0000FF"/>
          <w:sz w:val="28"/>
          <w:lang w:eastAsia="es-CO"/>
        </w:rPr>
      </w:pPr>
      <w:r w:rsidRPr="00B4323B">
        <w:rPr>
          <w:rFonts w:ascii="Segoe UI" w:eastAsia="Times New Roman" w:hAnsi="Segoe UI" w:cs="Segoe UI"/>
          <w:b/>
          <w:color w:val="0000FF"/>
          <w:sz w:val="28"/>
          <w:lang w:eastAsia="es-CO"/>
        </w:rPr>
        <w:t>11-12-2013</w:t>
      </w:r>
    </w:p>
    <w:p w:rsidR="00B4323B" w:rsidRPr="00B4323B" w:rsidRDefault="00B4323B" w:rsidP="00B4323B">
      <w:pPr>
        <w:spacing w:line="240" w:lineRule="auto"/>
        <w:jc w:val="center"/>
        <w:rPr>
          <w:rFonts w:ascii="Segoe UI" w:eastAsia="Times New Roman" w:hAnsi="Segoe UI" w:cs="Segoe UI"/>
          <w:b/>
          <w:iCs/>
          <w:color w:val="0000FF"/>
          <w:sz w:val="28"/>
          <w:lang w:eastAsia="es-CO"/>
        </w:rPr>
      </w:pPr>
      <w:r w:rsidRPr="00B4323B">
        <w:rPr>
          <w:rFonts w:ascii="Segoe UI" w:eastAsia="Times New Roman" w:hAnsi="Segoe UI" w:cs="Segoe UI"/>
          <w:b/>
          <w:iCs/>
          <w:color w:val="0000FF"/>
          <w:sz w:val="28"/>
          <w:lang w:eastAsia="es-CO"/>
        </w:rPr>
        <w:t>MINISTERIO DE HACIENDA Y CRÉDITO PÚBLICO</w:t>
      </w:r>
    </w:p>
    <w:p w:rsidR="00B4323B" w:rsidRPr="00B4323B" w:rsidRDefault="00B4323B" w:rsidP="00B4323B">
      <w:pPr>
        <w:spacing w:line="240" w:lineRule="auto"/>
        <w:jc w:val="center"/>
        <w:rPr>
          <w:rFonts w:ascii="Segoe UI" w:eastAsia="Times New Roman" w:hAnsi="Segoe UI" w:cs="Segoe UI"/>
          <w:b/>
          <w:i/>
          <w:iCs/>
          <w:color w:val="0000FF"/>
          <w:sz w:val="22"/>
          <w:lang w:eastAsia="es-CO"/>
        </w:rPr>
      </w:pPr>
    </w:p>
    <w:p w:rsidR="00B4323B" w:rsidRPr="00B4323B" w:rsidRDefault="00B4323B" w:rsidP="00B4323B">
      <w:pPr>
        <w:spacing w:line="240" w:lineRule="auto"/>
        <w:jc w:val="center"/>
        <w:rPr>
          <w:rFonts w:ascii="Segoe UI" w:eastAsia="Times New Roman" w:hAnsi="Segoe UI" w:cs="Segoe UI"/>
          <w:b/>
          <w:i/>
          <w:iCs/>
          <w:color w:val="0000FF"/>
          <w:sz w:val="22"/>
          <w:lang w:eastAsia="es-CO"/>
        </w:rPr>
      </w:pPr>
    </w:p>
    <w:p w:rsidR="00B4323B" w:rsidRPr="00B4323B" w:rsidRDefault="00B4323B" w:rsidP="00B4323B">
      <w:pPr>
        <w:spacing w:line="240" w:lineRule="auto"/>
        <w:jc w:val="center"/>
        <w:rPr>
          <w:rFonts w:ascii="Segoe UI" w:eastAsia="Times New Roman" w:hAnsi="Segoe UI" w:cs="Segoe UI"/>
          <w:sz w:val="22"/>
          <w:lang w:eastAsia="es-CO"/>
        </w:rPr>
      </w:pPr>
      <w:proofErr w:type="gramStart"/>
      <w:r w:rsidRPr="00B4323B">
        <w:rPr>
          <w:rFonts w:ascii="Segoe UI" w:eastAsia="Times New Roman" w:hAnsi="Segoe UI" w:cs="Segoe UI"/>
          <w:i/>
          <w:iCs/>
          <w:sz w:val="22"/>
          <w:lang w:eastAsia="es-CO"/>
        </w:rPr>
        <w:t>por</w:t>
      </w:r>
      <w:proofErr w:type="gramEnd"/>
      <w:r w:rsidRPr="00B4323B">
        <w:rPr>
          <w:rFonts w:ascii="Segoe UI" w:eastAsia="Times New Roman" w:hAnsi="Segoe UI" w:cs="Segoe UI"/>
          <w:i/>
          <w:iCs/>
          <w:sz w:val="22"/>
          <w:lang w:eastAsia="es-CO"/>
        </w:rPr>
        <w:t xml:space="preserve"> el cual se reglamenta el </w:t>
      </w:r>
      <w:hyperlink r:id="rId5" w:tooltip="Estatuto Tributario CETA" w:history="1">
        <w:r w:rsidRPr="00B4323B">
          <w:rPr>
            <w:rFonts w:ascii="Segoe UI" w:eastAsia="Times New Roman" w:hAnsi="Segoe UI" w:cs="Segoe UI"/>
            <w:i/>
            <w:iCs/>
            <w:color w:val="0089E1"/>
            <w:sz w:val="22"/>
            <w:lang w:eastAsia="es-CO"/>
          </w:rPr>
          <w:t>artículo 850-1</w:t>
        </w:r>
      </w:hyperlink>
      <w:r w:rsidRPr="00B4323B">
        <w:rPr>
          <w:rFonts w:ascii="Segoe UI" w:eastAsia="Times New Roman" w:hAnsi="Segoe UI" w:cs="Segoe UI"/>
          <w:i/>
          <w:iCs/>
          <w:sz w:val="22"/>
          <w:lang w:eastAsia="es-CO"/>
        </w:rPr>
        <w:t xml:space="preserve"> del Estatuto Tributario.</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 xml:space="preserve">El Presidente de la República de Colombia, en uso de sus facultades constitucionales y legales, en especial las que le confieren los numerales 11 y 20 del artículo 189 de la Constitución Política y el </w:t>
      </w:r>
      <w:hyperlink r:id="rId6"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 modificado por el artículo 67 de la Ley 1607 de 2012,</w:t>
      </w:r>
    </w:p>
    <w:p w:rsidR="00B4323B" w:rsidRPr="00B4323B" w:rsidRDefault="00B4323B" w:rsidP="00B4323B">
      <w:pPr>
        <w:spacing w:line="240" w:lineRule="auto"/>
        <w:jc w:val="center"/>
        <w:rPr>
          <w:rFonts w:ascii="Segoe UI" w:eastAsia="Times New Roman" w:hAnsi="Segoe UI" w:cs="Segoe UI"/>
          <w:sz w:val="22"/>
          <w:lang w:eastAsia="es-CO"/>
        </w:rPr>
      </w:pPr>
    </w:p>
    <w:p w:rsidR="00B4323B" w:rsidRPr="00B4323B" w:rsidRDefault="00B4323B" w:rsidP="00B4323B">
      <w:pPr>
        <w:spacing w:line="240" w:lineRule="auto"/>
        <w:jc w:val="center"/>
        <w:rPr>
          <w:rFonts w:ascii="Segoe UI" w:eastAsia="Times New Roman" w:hAnsi="Segoe UI" w:cs="Segoe UI"/>
          <w:sz w:val="22"/>
          <w:lang w:eastAsia="es-CO"/>
        </w:rPr>
      </w:pPr>
    </w:p>
    <w:p w:rsidR="00B4323B" w:rsidRPr="00B4323B" w:rsidRDefault="00B4323B" w:rsidP="00B4323B">
      <w:pPr>
        <w:spacing w:line="240" w:lineRule="auto"/>
        <w:jc w:val="center"/>
        <w:rPr>
          <w:rFonts w:ascii="Segoe UI" w:eastAsia="Times New Roman" w:hAnsi="Segoe UI" w:cs="Segoe UI"/>
          <w:b/>
          <w:sz w:val="22"/>
          <w:lang w:eastAsia="es-CO"/>
        </w:rPr>
      </w:pPr>
      <w:r w:rsidRPr="00B4323B">
        <w:rPr>
          <w:rFonts w:ascii="Segoe UI" w:eastAsia="Times New Roman" w:hAnsi="Segoe UI" w:cs="Segoe UI"/>
          <w:b/>
          <w:sz w:val="22"/>
          <w:lang w:eastAsia="es-CO"/>
        </w:rPr>
        <w:t>CONSIDERANDO:</w:t>
      </w:r>
    </w:p>
    <w:p w:rsidR="00B4323B" w:rsidRPr="00B4323B" w:rsidRDefault="00B4323B" w:rsidP="00B4323B">
      <w:pPr>
        <w:spacing w:line="240" w:lineRule="auto"/>
        <w:rPr>
          <w:rFonts w:ascii="Segoe UI" w:eastAsia="Times New Roman" w:hAnsi="Segoe UI" w:cs="Segoe UI"/>
          <w:b/>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 xml:space="preserve">Que el artículo 67 de la Ley 1607 de 2012 modificó el </w:t>
      </w:r>
      <w:hyperlink r:id="rId7"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 a efecto de incluir en el beneficio de devolución del IVA, las adquisiciones hechas por personas naturales con tarjetas de crédito y débito de bienes o servicios gravados con la tarifa del IVA del cinco por ciento (5%) y las adquisiciones de bienes o servicios efectuadas a través del servicio de banca móvil gravados con el IVA a la tarifa general o a la del cinco por ciento (5%).</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Que en la actualidad el Gobierno Nacional está comprometido con: (i) el estímulo a los procesos de “</w:t>
      </w:r>
      <w:r w:rsidRPr="00B4323B">
        <w:rPr>
          <w:rFonts w:ascii="Segoe UI" w:eastAsia="Times New Roman" w:hAnsi="Segoe UI" w:cs="Segoe UI"/>
          <w:i/>
          <w:iCs/>
          <w:sz w:val="22"/>
          <w:lang w:eastAsia="es-CO"/>
        </w:rPr>
        <w:t>bancarización</w:t>
      </w:r>
      <w:r w:rsidRPr="00B4323B">
        <w:rPr>
          <w:rFonts w:ascii="Segoe UI" w:eastAsia="Times New Roman" w:hAnsi="Segoe UI" w:cs="Segoe UI"/>
          <w:sz w:val="22"/>
          <w:lang w:eastAsia="es-CO"/>
        </w:rPr>
        <w:t>” de la población colombiana, (ii) el fomento de las actividades a través de mecanismos formales, y (iii) la lucha contra la evasión fiscal.</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Que en la actualidad no existe una definición de los servicios de banca móvil y que es necesario actualizar el procedimiento para la devolución de los dos (2) puntos del IVA pagado en la adquisición de bienes o servicios gravados a la tarifa general (16%) o del cinco por ciento (5%).</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Que la implementación que se establece en el presente decreto requiere de un plazo prudencial para que las entidades emisoras de tarjetas de crédito y/o débito, las entidades prestadoras de servicios de banca móvil, las redes y administradoras de datafonos realicen los cambios y adecuaciones pertinentes en su infraestructura tecnológica.</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Que cumplida la formalidad prevista en el numeral 8 del artículo 8° del Código de Procedimiento Administrativo y de lo Contencioso Administrativo en relación con el texto del presente decreto.</w:t>
      </w:r>
    </w:p>
    <w:p w:rsidR="00B4323B" w:rsidRPr="00B4323B" w:rsidRDefault="00B4323B" w:rsidP="00B4323B">
      <w:pPr>
        <w:spacing w:line="240" w:lineRule="auto"/>
        <w:jc w:val="center"/>
        <w:rPr>
          <w:rFonts w:ascii="Segoe UI" w:eastAsia="Times New Roman" w:hAnsi="Segoe UI" w:cs="Segoe UI"/>
          <w:sz w:val="22"/>
          <w:lang w:eastAsia="es-CO"/>
        </w:rPr>
      </w:pPr>
    </w:p>
    <w:p w:rsidR="00B4323B" w:rsidRPr="00B4323B" w:rsidRDefault="00B4323B" w:rsidP="00B4323B">
      <w:pPr>
        <w:spacing w:line="240" w:lineRule="auto"/>
        <w:jc w:val="center"/>
        <w:rPr>
          <w:rFonts w:ascii="Segoe UI" w:eastAsia="Times New Roman" w:hAnsi="Segoe UI" w:cs="Segoe UI"/>
          <w:sz w:val="22"/>
          <w:lang w:eastAsia="es-CO"/>
        </w:rPr>
      </w:pPr>
    </w:p>
    <w:p w:rsidR="00B4323B" w:rsidRPr="00B4323B" w:rsidRDefault="00B4323B" w:rsidP="00B4323B">
      <w:pPr>
        <w:spacing w:line="240" w:lineRule="auto"/>
        <w:jc w:val="center"/>
        <w:rPr>
          <w:rFonts w:ascii="Segoe UI" w:eastAsia="Times New Roman" w:hAnsi="Segoe UI" w:cs="Segoe UI"/>
          <w:b/>
          <w:sz w:val="22"/>
          <w:lang w:eastAsia="es-CO"/>
        </w:rPr>
      </w:pPr>
      <w:r w:rsidRPr="00B4323B">
        <w:rPr>
          <w:rFonts w:ascii="Segoe UI" w:eastAsia="Times New Roman" w:hAnsi="Segoe UI" w:cs="Segoe UI"/>
          <w:b/>
          <w:sz w:val="22"/>
          <w:lang w:eastAsia="es-CO"/>
        </w:rPr>
        <w:t>DECRETA:</w:t>
      </w:r>
    </w:p>
    <w:p w:rsidR="00B4323B" w:rsidRPr="00B4323B" w:rsidRDefault="00B4323B" w:rsidP="00B4323B">
      <w:pPr>
        <w:spacing w:line="240" w:lineRule="auto"/>
        <w:rPr>
          <w:rFonts w:ascii="Segoe UI" w:eastAsia="Times New Roman" w:hAnsi="Segoe UI" w:cs="Segoe UI"/>
          <w:b/>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1°.</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Devolución del IVA por adquisiciones con tarjetas de crédito, débito o banca móvil</w:t>
      </w:r>
      <w:r w:rsidRPr="00B4323B">
        <w:rPr>
          <w:rFonts w:ascii="Segoe UI" w:eastAsia="Times New Roman" w:hAnsi="Segoe UI" w:cs="Segoe UI"/>
          <w:sz w:val="22"/>
          <w:lang w:eastAsia="es-CO"/>
        </w:rPr>
        <w:t>. Las personas naturales que adquieran bienes o servicios a la tarifa general y del cinco por ciento (5%) del impuesto sobre las ventas mediante tarjetas de crédito, débito o a través del servicio de Banca Móvil, tendrán derecho a la devolución de dos (2) puntos del impuesto sobre las ventas pagado.</w:t>
      </w:r>
    </w:p>
    <w:p w:rsidR="00B4323B" w:rsidRPr="00B4323B" w:rsidRDefault="00B4323B" w:rsidP="00B4323B">
      <w:pPr>
        <w:spacing w:line="240" w:lineRule="auto"/>
        <w:rPr>
          <w:rFonts w:ascii="Segoe UI" w:eastAsia="Times New Roman" w:hAnsi="Segoe UI" w:cs="Segoe UI"/>
          <w:szCs w:val="24"/>
          <w:lang w:eastAsia="es-CO"/>
        </w:rPr>
      </w:pPr>
    </w:p>
    <w:p w:rsidR="00B4323B" w:rsidRPr="00B4323B" w:rsidRDefault="00B4323B" w:rsidP="00B4323B">
      <w:pPr>
        <w:spacing w:line="240" w:lineRule="auto"/>
        <w:rPr>
          <w:rFonts w:ascii="Segoe UI" w:eastAsia="Times New Roman" w:hAnsi="Segoe UI" w:cs="Segoe UI"/>
          <w:szCs w:val="24"/>
          <w:lang w:eastAsia="es-CO"/>
        </w:rPr>
      </w:pPr>
      <w:r w:rsidRPr="00B4323B">
        <w:rPr>
          <w:rFonts w:ascii="Segoe UI" w:eastAsia="Times New Roman" w:hAnsi="Segoe UI" w:cs="Segoe UI"/>
          <w:szCs w:val="24"/>
          <w:lang w:eastAsia="es-CO"/>
        </w:rPr>
        <w:t xml:space="preserve">La devolución aquí prevista procederá igualmente cuando la adquisición de bienes o servicios se realice con otro tipo de tarjetas o bonos que sirvan como medios de pago, caso en el cual las empresas administradoras de los mismos deberán estar </w:t>
      </w:r>
      <w:r w:rsidRPr="00B4323B">
        <w:rPr>
          <w:rFonts w:ascii="Segoe UI" w:eastAsia="Times New Roman" w:hAnsi="Segoe UI" w:cs="Segoe UI"/>
          <w:szCs w:val="24"/>
          <w:lang w:eastAsia="es-CO"/>
        </w:rPr>
        <w:lastRenderedPageBreak/>
        <w:t>previamente autorizadas por la UAE –Dirección de Impuestos y Aduanas Nacionales, reuniendo las condiciones técnicas que dicha entidad establezca.</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Parágrafo.</w:t>
      </w:r>
      <w:r w:rsidRPr="00B4323B">
        <w:rPr>
          <w:rFonts w:ascii="Segoe UI" w:eastAsia="Times New Roman" w:hAnsi="Segoe UI" w:cs="Segoe UI"/>
          <w:sz w:val="22"/>
          <w:lang w:eastAsia="es-CO"/>
        </w:rPr>
        <w:t xml:space="preserve"> Cuando el adquirente de los bienes o servicios que dan derecho a la devolución de los dos (2) puntos del IVA, sea responsable del impuesto sobre las ventas perteneciente al régimen común y dichas adquisiciones no den derecho a impuestos descontables por no ser computables como costo o gasto en el Impuesto sobre la renta, el responsable deberá llevar los dos puntos del IVA como impuesto descontable en el impuesto sobre las ventas del período correspondiente a la adquisición de los bienes o servicios.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2°.</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Definición de Banca Móvil</w:t>
      </w:r>
      <w:r w:rsidRPr="00B4323B">
        <w:rPr>
          <w:rFonts w:ascii="Segoe UI" w:eastAsia="Times New Roman" w:hAnsi="Segoe UI" w:cs="Segoe UI"/>
          <w:sz w:val="22"/>
          <w:lang w:eastAsia="es-CO"/>
        </w:rPr>
        <w:t xml:space="preserve">. Para efectos de la devolución de que trata el </w:t>
      </w:r>
      <w:hyperlink r:id="rId8"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 se entiende por servicios de banca móvil todas aquellas operaciones surgidas en cualquiera de las circunstancias descritas en el </w:t>
      </w:r>
      <w:hyperlink r:id="rId9" w:tooltip="Estatuto Tributario CETA" w:history="1">
        <w:r w:rsidRPr="00B4323B">
          <w:rPr>
            <w:rFonts w:ascii="Segoe UI" w:eastAsia="Times New Roman" w:hAnsi="Segoe UI" w:cs="Segoe UI"/>
            <w:color w:val="0089E1"/>
            <w:sz w:val="22"/>
            <w:lang w:eastAsia="es-CO"/>
          </w:rPr>
          <w:t>artículo 420</w:t>
        </w:r>
      </w:hyperlink>
      <w:r w:rsidRPr="00B4323B">
        <w:rPr>
          <w:rFonts w:ascii="Segoe UI" w:eastAsia="Times New Roman" w:hAnsi="Segoe UI" w:cs="Segoe UI"/>
          <w:sz w:val="22"/>
          <w:lang w:eastAsia="es-CO"/>
        </w:rPr>
        <w:t xml:space="preserve"> del Estatuto Tributario, o cualquier norma que lo modifique o sustituya, siempre y cuando se emplee cualquier mecanismo electrónico de pago asociado a un producto financiero de tal forma que el uso del mecanismo implique la disposición de recursos de un depósito o la utilización de un cupo de crédito otorgado previamente.</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Parágrafo.</w:t>
      </w:r>
      <w:r w:rsidRPr="00B4323B">
        <w:rPr>
          <w:rFonts w:ascii="Segoe UI" w:eastAsia="Times New Roman" w:hAnsi="Segoe UI" w:cs="Segoe UI"/>
          <w:sz w:val="22"/>
          <w:lang w:eastAsia="es-CO"/>
        </w:rPr>
        <w:t xml:space="preserve"> Mecanismos electrónicos. Comprenden mecanismos electrónicos, entre otros, los siguientes: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1. Operaciones a través de teléfonos celulares,</w:t>
      </w: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2. Pagos por internet, y</w:t>
      </w: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3. Transferencias electrónicas.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3°.</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Procedimiento para efectuar la devolución</w:t>
      </w:r>
      <w:r w:rsidRPr="00B4323B">
        <w:rPr>
          <w:rFonts w:ascii="Segoe UI" w:eastAsia="Times New Roman" w:hAnsi="Segoe UI" w:cs="Segoe UI"/>
          <w:sz w:val="22"/>
          <w:lang w:eastAsia="es-CO"/>
        </w:rPr>
        <w:t>. Cuando la adquisición de bienes o servicios que den lugar a devolución, se efectúe mediante tarjeta débito, la UAE – Dirección de Impuestos y Aduanas Nacionales realizará dicha devolución a través de la entidad emisora de la tarjeta, la que acreditará los recursos correspondientes en la cuenta corriente o de ahorros a la cual pertenezca la tarjeta.</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Cuando la adquisición de bienes o servicios se efectúe mediante tarjeta de crédito, la UAE – Dirección de Impuestos y Aduanas Nacionales realizará la devolución a través de la entidad emisora de la tarjeta, mediante acreditación de los recursos correspondientes en el saldo a pagar o como saldo positivo de la respectiva tarjeta.</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Cuando la adquisición de bienes o servicios se efectúe a través de los servicios de banca móvil, la UAE – Dirección de Impuestos y Aduanas Nacionales realizará la devolución a través de la entidad financiera que preste dichos servicios. La acreditación de los recursos se realizará al producto financiero asociado a la operación objeto de la devolución.</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 xml:space="preserve">La devolución a que se refiere el presente artículo se hará con base en la información aprobada y que encuentre procedente la UAE – Dirección de Impuestos y Aduanas Nacionales, con cargo a los recursos de la cuenta que la Dirección General de Crédito Público y del Tesoro Nacional habilite al Nivel Central de la UAE – Dirección de Impuestos y Aduanas Nacionales, de la cual se girarán los recursos a los establecimientos de crédito, a través del sistema </w:t>
      </w:r>
      <w:proofErr w:type="spellStart"/>
      <w:r w:rsidRPr="00B4323B">
        <w:rPr>
          <w:rFonts w:ascii="Segoe UI" w:eastAsia="Times New Roman" w:hAnsi="Segoe UI" w:cs="Segoe UI"/>
          <w:sz w:val="22"/>
          <w:lang w:eastAsia="es-CO"/>
        </w:rPr>
        <w:t>Sebra</w:t>
      </w:r>
      <w:proofErr w:type="spellEnd"/>
      <w:r w:rsidRPr="00B4323B">
        <w:rPr>
          <w:rFonts w:ascii="Segoe UI" w:eastAsia="Times New Roman" w:hAnsi="Segoe UI" w:cs="Segoe UI"/>
          <w:sz w:val="22"/>
          <w:lang w:eastAsia="es-CO"/>
        </w:rPr>
        <w:t xml:space="preserve"> del Banco de la República, para que estos abonen el valor objeto de la devolución el mismo día de recibo de los dineros.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 xml:space="preserve">Las entidades financieras deberán enviar al día hábil siguiente de realizado el abono, a la UAE – Dirección de Impuestos y Aduanas Nacionales, el archivo de “autorizaciones procesadas” y durante el mismo día efectuar el reintegro de las sumas no abonadas, </w:t>
      </w:r>
      <w:r w:rsidRPr="00B4323B">
        <w:rPr>
          <w:rFonts w:ascii="Segoe UI" w:eastAsia="Times New Roman" w:hAnsi="Segoe UI" w:cs="Segoe UI"/>
          <w:sz w:val="22"/>
          <w:lang w:eastAsia="es-CO"/>
        </w:rPr>
        <w:lastRenderedPageBreak/>
        <w:t xml:space="preserve">mediante consignación a la cuenta que indique la UAE – Dirección de Impuestos y Aduanas Nacionales, a través del sistema </w:t>
      </w:r>
      <w:proofErr w:type="spellStart"/>
      <w:r w:rsidRPr="00B4323B">
        <w:rPr>
          <w:rFonts w:ascii="Segoe UI" w:eastAsia="Times New Roman" w:hAnsi="Segoe UI" w:cs="Segoe UI"/>
          <w:sz w:val="22"/>
          <w:lang w:eastAsia="es-CO"/>
        </w:rPr>
        <w:t>Sebra</w:t>
      </w:r>
      <w:proofErr w:type="spellEnd"/>
      <w:r w:rsidRPr="00B4323B">
        <w:rPr>
          <w:rFonts w:ascii="Segoe UI" w:eastAsia="Times New Roman" w:hAnsi="Segoe UI" w:cs="Segoe UI"/>
          <w:sz w:val="22"/>
          <w:lang w:eastAsia="es-CO"/>
        </w:rPr>
        <w:t xml:space="preserve"> del Banco de la República.</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Una vez procesados, validados y cruzados los archivos de “autorizaciones procesadas” y registrada la consignación de reintegro no deben quedar saldos pendientes por legalizar o consignar por parte de la entidad financiera respectiva, de lo contrario la UAE –Dirección de Impuestos y Aduanas Nacionales se abstendrá de realizar el giro de los valores aprobados en el período siguiente hasta que la entidad financiera respectiva subsane las inconsistencias detectadas.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 xml:space="preserve">Artículo 4°. </w:t>
      </w:r>
      <w:r w:rsidRPr="00B4323B">
        <w:rPr>
          <w:rFonts w:ascii="Segoe UI" w:eastAsia="Times New Roman" w:hAnsi="Segoe UI" w:cs="Segoe UI"/>
          <w:i/>
          <w:iCs/>
          <w:sz w:val="22"/>
          <w:lang w:eastAsia="es-CO"/>
        </w:rPr>
        <w:t>Obligación de informar</w:t>
      </w:r>
      <w:r w:rsidRPr="00B4323B">
        <w:rPr>
          <w:rFonts w:ascii="Segoe UI" w:eastAsia="Times New Roman" w:hAnsi="Segoe UI" w:cs="Segoe UI"/>
          <w:sz w:val="22"/>
          <w:lang w:eastAsia="es-CO"/>
        </w:rPr>
        <w:t>. Las entidades que presten servicios de banca móvil y las entidades emisoras de tarjetas de crédito y/o débito, deberán suministrar la información relativa a la identificación, ubicación y los demás datos tanto del adquirente como del vendedor de los bienes o prestador de los servicios gravados a la tarifa general y a la tarifa del cinco por ciento (5%), dentro del término y con el cumplimiento de las especificaciones técnicas que mediante resolución señale el Director de Impuestos y Aduanas Nacionales.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 xml:space="preserve">El incumplimiento de la obligación a que se refiere el inciso anterior dará lugar a la aplicación de la sanción prevista en el </w:t>
      </w:r>
      <w:hyperlink r:id="rId10" w:tooltip="Estatuto Tributario CETA" w:history="1">
        <w:r w:rsidRPr="00B4323B">
          <w:rPr>
            <w:rFonts w:ascii="Segoe UI" w:eastAsia="Times New Roman" w:hAnsi="Segoe UI" w:cs="Segoe UI"/>
            <w:color w:val="0089E1"/>
            <w:sz w:val="22"/>
            <w:lang w:eastAsia="es-CO"/>
          </w:rPr>
          <w:t>artículo 651</w:t>
        </w:r>
      </w:hyperlink>
      <w:r w:rsidRPr="00B4323B">
        <w:rPr>
          <w:rFonts w:ascii="Segoe UI" w:eastAsia="Times New Roman" w:hAnsi="Segoe UI" w:cs="Segoe UI"/>
          <w:sz w:val="22"/>
          <w:lang w:eastAsia="es-CO"/>
        </w:rPr>
        <w:t xml:space="preserve"> del Estatuto Tributario.</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 xml:space="preserve">Las entidades de que trata el primer inciso de este artículo deberán mantener los archivos enviados y los recibidos de la UAE – Dirección de Impuestos y Aduanas Nacionales y crear un registro por cada persona natural, en el que se indique los valores que le hayan sido abonados por efecto de la devolución de que trata el </w:t>
      </w:r>
      <w:hyperlink r:id="rId11"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 xml:space="preserve">Artículo 5°. </w:t>
      </w:r>
      <w:r w:rsidRPr="00B4323B">
        <w:rPr>
          <w:rFonts w:ascii="Segoe UI" w:eastAsia="Times New Roman" w:hAnsi="Segoe UI" w:cs="Segoe UI"/>
          <w:i/>
          <w:iCs/>
          <w:sz w:val="22"/>
          <w:lang w:eastAsia="es-CO"/>
        </w:rPr>
        <w:t>Obligación de discriminar el IVA objeto de la devolución de los dos (2) puntos del impuesto sobre las ventas</w:t>
      </w:r>
      <w:r w:rsidRPr="00B4323B">
        <w:rPr>
          <w:rFonts w:ascii="Segoe UI" w:eastAsia="Times New Roman" w:hAnsi="Segoe UI" w:cs="Segoe UI"/>
          <w:sz w:val="22"/>
          <w:lang w:eastAsia="es-CO"/>
        </w:rPr>
        <w:t>. A más tardar el 1º de febrero de 2014, las personas y establecimientos de comercio afiliados al sistema de tarjetas de crédito y/o débito y los servicios de banca móvil, deberán indicar en el comprobante de pago con tarjeta de crédito, débito, el valor del IVA generado y pagado a la tarifa general y a la tarifa del cinco por ciento (5%), en forma separada.</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Parágrafo 1°.</w:t>
      </w:r>
      <w:r w:rsidRPr="00B4323B">
        <w:rPr>
          <w:rFonts w:ascii="Segoe UI" w:eastAsia="Times New Roman" w:hAnsi="Segoe UI" w:cs="Segoe UI"/>
          <w:sz w:val="22"/>
          <w:lang w:eastAsia="es-CO"/>
        </w:rPr>
        <w:t xml:space="preserve"> El impuesto nacional al consumo pagado en operaciones realizadas con tarjetas de crédito o débito o a través de los servicios de banca móvil no será objeto de la devolución de que trata el </w:t>
      </w:r>
      <w:hyperlink r:id="rId12"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Parágrafo 2°.</w:t>
      </w:r>
      <w:r w:rsidRPr="00B4323B">
        <w:rPr>
          <w:rFonts w:ascii="Segoe UI" w:eastAsia="Times New Roman" w:hAnsi="Segoe UI" w:cs="Segoe UI"/>
          <w:sz w:val="22"/>
          <w:lang w:eastAsia="es-CO"/>
        </w:rPr>
        <w:t xml:space="preserve"> En todo caso el establecimiento de comercio afiliado al sistema de tarjetas o servicio de banca móvil, los establecimientos emisores de las mismas y quienes presten el servicio de banca móvil, certificarán que en la información aportada para la devolución de los dos (2) puntos del impuesto sobre las ventas, no se incluye el impuesto al consumo, creado desde el 1º de enero de 2013.</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6°.</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Improcedencia de la devolución</w:t>
      </w:r>
      <w:r w:rsidRPr="00B4323B">
        <w:rPr>
          <w:rFonts w:ascii="Segoe UI" w:eastAsia="Times New Roman" w:hAnsi="Segoe UI" w:cs="Segoe UI"/>
          <w:sz w:val="22"/>
          <w:lang w:eastAsia="es-CO"/>
        </w:rPr>
        <w:t xml:space="preserve">. No habrá lugar a la devolución de que trata el </w:t>
      </w:r>
      <w:hyperlink r:id="rId13"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 cuando para llevar a cabo la operación se empleen servicios de banca móvil en los cuales no sea posible identificar al titular de los mismos y/o no se encuentra soportada por una factura de venta o documento equivalente que cumpla con los requisitos del </w:t>
      </w:r>
      <w:hyperlink r:id="rId14" w:tooltip="Estatuto Tributario CETA" w:history="1">
        <w:r w:rsidRPr="00B4323B">
          <w:rPr>
            <w:rFonts w:ascii="Segoe UI" w:eastAsia="Times New Roman" w:hAnsi="Segoe UI" w:cs="Segoe UI"/>
            <w:color w:val="0089E1"/>
            <w:sz w:val="22"/>
            <w:lang w:eastAsia="es-CO"/>
          </w:rPr>
          <w:t>artículo 617</w:t>
        </w:r>
      </w:hyperlink>
      <w:r w:rsidRPr="00B4323B">
        <w:rPr>
          <w:rFonts w:ascii="Segoe UI" w:eastAsia="Times New Roman" w:hAnsi="Segoe UI" w:cs="Segoe UI"/>
          <w:sz w:val="22"/>
          <w:lang w:eastAsia="es-CO"/>
        </w:rPr>
        <w:t xml:space="preserve"> del Estatuto Tributario.</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7°.</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Información relativa a operaciones anuladas, rescindidas o resueltas</w:t>
      </w:r>
      <w:r w:rsidRPr="00B4323B">
        <w:rPr>
          <w:rFonts w:ascii="Segoe UI" w:eastAsia="Times New Roman" w:hAnsi="Segoe UI" w:cs="Segoe UI"/>
          <w:sz w:val="22"/>
          <w:lang w:eastAsia="es-CO"/>
        </w:rPr>
        <w:t xml:space="preserve">. Las personas y establecimientos de comercio afiliados al sistema de tarjetas de crédito o débito o a los servicios de banca móvil, deberán informar a la entidad emisora de tarjetas crédito y/o débito y a las entidades prestadoras de los servicios de banca móvil, dentro </w:t>
      </w:r>
      <w:r w:rsidRPr="00B4323B">
        <w:rPr>
          <w:rFonts w:ascii="Segoe UI" w:eastAsia="Times New Roman" w:hAnsi="Segoe UI" w:cs="Segoe UI"/>
          <w:sz w:val="22"/>
          <w:lang w:eastAsia="es-CO"/>
        </w:rPr>
        <w:lastRenderedPageBreak/>
        <w:t>del mes siguiente a la realización de las anulaciones, resoluciones o rescisiones, el impuesto correspondiente a operaciones gravadas que dan derecho a devolución que se anulen, rescindan o resuelvan durante el mes, so pena de que tengan que asumir el valor de las devoluciones efectuadas de manera improcedente junto con los intereses a que hubiere lugar.</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8°.</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Autorización de la devolución</w:t>
      </w:r>
      <w:r w:rsidRPr="00B4323B">
        <w:rPr>
          <w:rFonts w:ascii="Segoe UI" w:eastAsia="Times New Roman" w:hAnsi="Segoe UI" w:cs="Segoe UI"/>
          <w:sz w:val="22"/>
          <w:lang w:eastAsia="es-CO"/>
        </w:rPr>
        <w:t xml:space="preserve">. La devolución de que trata el </w:t>
      </w:r>
      <w:hyperlink r:id="rId15"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 se deberá efectuar una vez la información remitida por las entidades emisoras de tarjetas de crédito y/o débito, las entidades prestadoras de servicios de banca móvil, las redes y administradoras de datafonos sea aceptada, procesada, validada y autorizada por la UAE – Dirección de Impuestos y Aduanas Nacionales.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9°.</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Imposibilidad de hacer la devolución</w:t>
      </w:r>
      <w:r w:rsidRPr="00B4323B">
        <w:rPr>
          <w:rFonts w:ascii="Segoe UI" w:eastAsia="Times New Roman" w:hAnsi="Segoe UI" w:cs="Segoe UI"/>
          <w:sz w:val="22"/>
          <w:lang w:eastAsia="es-CO"/>
        </w:rPr>
        <w:t xml:space="preserve">. Cuando las entidades a través de las cuales la UAE – Dirección de Impuestos y Aduanas Nacionales efectúa la devolución de que trata el </w:t>
      </w:r>
      <w:hyperlink r:id="rId16"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 no la puedan efectuar de acuerdo con el procedimiento establecido en el artículo 3° de este decreto, por situaciones tales como cancelación, cierre de la cuenta, bloqueo de la tarjeta de crédito o de la cuenta a la cual pertenezca la tarjeta, ausencia de información, o cualquier otro motivo; deberán enviar la información de los beneficiarios a quienes no les fue posible efectuar la correspondiente devolución a la UAE – Dirección de Impuestos y Aduanas Nacionales, y simultáneamente efectuar el reintegro de las sumas no abonadas a los mismos.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10.</w:t>
      </w:r>
      <w:r w:rsidRPr="00B4323B">
        <w:rPr>
          <w:rFonts w:ascii="Segoe UI" w:eastAsia="Times New Roman" w:hAnsi="Segoe UI" w:cs="Segoe UI"/>
          <w:sz w:val="22"/>
          <w:lang w:eastAsia="es-CO"/>
        </w:rPr>
        <w:t xml:space="preserve"> </w:t>
      </w:r>
      <w:r w:rsidRPr="00B4323B">
        <w:rPr>
          <w:rFonts w:ascii="Segoe UI" w:eastAsia="Times New Roman" w:hAnsi="Segoe UI" w:cs="Segoe UI"/>
          <w:i/>
          <w:sz w:val="22"/>
          <w:lang w:eastAsia="es-CO"/>
        </w:rPr>
        <w:t xml:space="preserve">Pagos parciales con tarjetas crédito y/o débito o a través del servicio de banca móvil. </w:t>
      </w:r>
      <w:r w:rsidRPr="00B4323B">
        <w:rPr>
          <w:rFonts w:ascii="Segoe UI" w:eastAsia="Times New Roman" w:hAnsi="Segoe UI" w:cs="Segoe UI"/>
          <w:sz w:val="22"/>
          <w:lang w:eastAsia="es-CO"/>
        </w:rPr>
        <w:t>Cuando los pagos de bienes y servicios gravados a las tarifas que dan lugar a devolución sean efectuados parcialmente con tarjetas crédito y/o débito o a través del servicio de banca móvil, solamente será objeto de devolución el impuesto sobre las ventas que se genere en proporción a la compra neta cancelada con la tarjeta crédito y/o débito o a través del servicio de banca móvil.</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11.</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Especificaciones Técnicas</w:t>
      </w:r>
      <w:r w:rsidRPr="00B4323B">
        <w:rPr>
          <w:rFonts w:ascii="Segoe UI" w:eastAsia="Times New Roman" w:hAnsi="Segoe UI" w:cs="Segoe UI"/>
          <w:sz w:val="22"/>
          <w:lang w:eastAsia="es-CO"/>
        </w:rPr>
        <w:t xml:space="preserve">. La UAE – Dirección de Impuestos y Aduanas Nacionales definirá mediante resolución las especificaciones técnicas de la información que debe ser presentada por las entidades emisoras de tarjetas de crédito y/o débito, las entidades prestadoras de servicios de banca móvil, las redes y administradoras de datafonos, en aplicación de lo dispuesto en el </w:t>
      </w:r>
      <w:hyperlink r:id="rId17" w:tooltip="Estatuto Tributario CETA" w:history="1">
        <w:r w:rsidRPr="00B4323B">
          <w:rPr>
            <w:rFonts w:ascii="Segoe UI" w:eastAsia="Times New Roman" w:hAnsi="Segoe UI" w:cs="Segoe UI"/>
            <w:color w:val="0089E1"/>
            <w:sz w:val="22"/>
            <w:lang w:eastAsia="es-CO"/>
          </w:rPr>
          <w:t>artículo 850-1</w:t>
        </w:r>
      </w:hyperlink>
      <w:r w:rsidRPr="00B4323B">
        <w:rPr>
          <w:rFonts w:ascii="Segoe UI" w:eastAsia="Times New Roman" w:hAnsi="Segoe UI" w:cs="Segoe UI"/>
          <w:sz w:val="22"/>
          <w:lang w:eastAsia="es-CO"/>
        </w:rPr>
        <w:t xml:space="preserve"> del Estatuto Tributario, con el fin de hacer las verificaciones necesarias para el control de la devolución y prevenir riesgos de devoluciones improcedentes.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Parágrafo.</w:t>
      </w:r>
      <w:r w:rsidRPr="00B4323B">
        <w:rPr>
          <w:rFonts w:ascii="Segoe UI" w:eastAsia="Times New Roman" w:hAnsi="Segoe UI" w:cs="Segoe UI"/>
          <w:sz w:val="22"/>
          <w:lang w:eastAsia="es-CO"/>
        </w:rPr>
        <w:t xml:space="preserve"> A más tardar al 1º de febrero de 2014 las entidades emisoras de tarjetas de crédito y/o débito, las redes y administradoras de datafonos y las entidades prestadoras de servicios de banca móvil, deben cumplir con las especificaciones técnicas que para entrega de información establezca la UAE –Dirección de Impuestos y Aduanas Nacionales.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12.</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Implementación</w:t>
      </w:r>
      <w:r w:rsidRPr="00B4323B">
        <w:rPr>
          <w:rFonts w:ascii="Segoe UI" w:eastAsia="Times New Roman" w:hAnsi="Segoe UI" w:cs="Segoe UI"/>
          <w:sz w:val="22"/>
          <w:lang w:eastAsia="es-CO"/>
        </w:rPr>
        <w:t>. Las entidades emisoras de tarjetas de crédito y/o débito, las redes y administradoras de datafonos y los prestadores de servicios de banca móvil tendrán hasta el día 31 de enero de 2014 para efectuar los cambios necesarios para dar cumplimiento a lo previsto en el presente decreto.</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b/>
          <w:sz w:val="22"/>
          <w:lang w:eastAsia="es-CO"/>
        </w:rPr>
        <w:t>Artículo 13.</w:t>
      </w:r>
      <w:r w:rsidRPr="00B4323B">
        <w:rPr>
          <w:rFonts w:ascii="Segoe UI" w:eastAsia="Times New Roman" w:hAnsi="Segoe UI" w:cs="Segoe UI"/>
          <w:sz w:val="22"/>
          <w:lang w:eastAsia="es-CO"/>
        </w:rPr>
        <w:t xml:space="preserve"> </w:t>
      </w:r>
      <w:r w:rsidRPr="00B4323B">
        <w:rPr>
          <w:rFonts w:ascii="Segoe UI" w:eastAsia="Times New Roman" w:hAnsi="Segoe UI" w:cs="Segoe UI"/>
          <w:i/>
          <w:iCs/>
          <w:sz w:val="22"/>
          <w:lang w:eastAsia="es-CO"/>
        </w:rPr>
        <w:t>Vigencia y derogatorias</w:t>
      </w:r>
      <w:r w:rsidRPr="00B4323B">
        <w:rPr>
          <w:rFonts w:ascii="Segoe UI" w:eastAsia="Times New Roman" w:hAnsi="Segoe UI" w:cs="Segoe UI"/>
          <w:sz w:val="22"/>
          <w:lang w:eastAsia="es-CO"/>
        </w:rPr>
        <w:t>. El presente decreto rige a partir de la fecha de su publicación y, a partir del 1º de febrero de 2014, deroga los Decretos números 428 de 2004, 1846 de 2004, 2084 de 2004 y demás normas que le sean contrarias.</w:t>
      </w:r>
    </w:p>
    <w:p w:rsidR="00B4323B" w:rsidRPr="00B4323B" w:rsidRDefault="00B4323B" w:rsidP="00B4323B">
      <w:pPr>
        <w:spacing w:line="240" w:lineRule="auto"/>
        <w:rPr>
          <w:rFonts w:ascii="Segoe UI" w:eastAsia="Times New Roman" w:hAnsi="Segoe UI" w:cs="Segoe UI"/>
          <w:sz w:val="22"/>
          <w:lang w:eastAsia="es-CO"/>
        </w:rPr>
      </w:pPr>
    </w:p>
    <w:p w:rsidR="00B4323B" w:rsidRPr="00B4323B" w:rsidRDefault="00B4323B" w:rsidP="00B4323B">
      <w:pPr>
        <w:spacing w:line="240" w:lineRule="auto"/>
        <w:rPr>
          <w:rFonts w:ascii="Segoe UI" w:eastAsia="Times New Roman" w:hAnsi="Segoe UI" w:cs="Segoe UI"/>
          <w:b/>
          <w:sz w:val="22"/>
          <w:lang w:eastAsia="es-CO"/>
        </w:rPr>
      </w:pPr>
      <w:r w:rsidRPr="00B4323B">
        <w:rPr>
          <w:rFonts w:ascii="Segoe UI" w:eastAsia="Times New Roman" w:hAnsi="Segoe UI" w:cs="Segoe UI"/>
          <w:b/>
          <w:sz w:val="22"/>
          <w:lang w:eastAsia="es-CO"/>
        </w:rPr>
        <w:t>Publíquese y cúmplase.</w:t>
      </w:r>
    </w:p>
    <w:p w:rsidR="00B4323B" w:rsidRPr="00B4323B" w:rsidRDefault="00B4323B" w:rsidP="00B4323B">
      <w:pPr>
        <w:spacing w:line="240" w:lineRule="auto"/>
        <w:rPr>
          <w:rFonts w:ascii="Segoe UI" w:eastAsia="Times New Roman" w:hAnsi="Segoe UI" w:cs="Segoe UI"/>
          <w:sz w:val="22"/>
          <w:lang w:eastAsia="es-CO"/>
        </w:rPr>
      </w:pPr>
      <w:r w:rsidRPr="00B4323B">
        <w:rPr>
          <w:rFonts w:ascii="Segoe UI" w:eastAsia="Times New Roman" w:hAnsi="Segoe UI" w:cs="Segoe UI"/>
          <w:sz w:val="22"/>
          <w:lang w:eastAsia="es-CO"/>
        </w:rPr>
        <w:t>Dado en Bogotá, D.C., a 11 de diciembre de 2013.</w:t>
      </w:r>
    </w:p>
    <w:p w:rsidR="00B4323B" w:rsidRPr="00B4323B" w:rsidRDefault="00B4323B" w:rsidP="00B4323B">
      <w:pPr>
        <w:spacing w:line="240" w:lineRule="auto"/>
        <w:jc w:val="right"/>
        <w:rPr>
          <w:rFonts w:ascii="Segoe UI" w:eastAsia="Times New Roman" w:hAnsi="Segoe UI" w:cs="Segoe UI"/>
          <w:sz w:val="22"/>
          <w:lang w:eastAsia="es-CO"/>
        </w:rPr>
      </w:pPr>
    </w:p>
    <w:p w:rsidR="00B4323B" w:rsidRPr="00B4323B" w:rsidRDefault="00B4323B" w:rsidP="00B4323B">
      <w:pPr>
        <w:spacing w:line="240" w:lineRule="auto"/>
        <w:jc w:val="right"/>
        <w:rPr>
          <w:rFonts w:ascii="Segoe UI" w:eastAsia="Times New Roman" w:hAnsi="Segoe UI" w:cs="Segoe UI"/>
          <w:sz w:val="22"/>
          <w:lang w:eastAsia="es-CO"/>
        </w:rPr>
      </w:pPr>
    </w:p>
    <w:p w:rsidR="00B4323B" w:rsidRPr="00B4323B" w:rsidRDefault="00B4323B" w:rsidP="00B4323B">
      <w:pPr>
        <w:spacing w:line="240" w:lineRule="auto"/>
        <w:jc w:val="right"/>
        <w:rPr>
          <w:rFonts w:ascii="Segoe UI" w:eastAsia="Times New Roman" w:hAnsi="Segoe UI" w:cs="Segoe UI"/>
          <w:b/>
          <w:sz w:val="22"/>
          <w:lang w:eastAsia="es-CO"/>
        </w:rPr>
      </w:pPr>
      <w:r w:rsidRPr="00B4323B">
        <w:rPr>
          <w:rFonts w:ascii="Segoe UI" w:eastAsia="Times New Roman" w:hAnsi="Segoe UI" w:cs="Segoe UI"/>
          <w:b/>
          <w:sz w:val="22"/>
          <w:lang w:eastAsia="es-CO"/>
        </w:rPr>
        <w:t>JUAN MANUEL SANTOS CALDERÓN</w:t>
      </w:r>
    </w:p>
    <w:p w:rsidR="00B4323B" w:rsidRPr="00B4323B" w:rsidRDefault="00B4323B" w:rsidP="00B4323B">
      <w:pPr>
        <w:spacing w:line="240" w:lineRule="auto"/>
        <w:rPr>
          <w:rFonts w:ascii="Segoe UI" w:eastAsia="Times New Roman" w:hAnsi="Segoe UI" w:cs="Segoe UI"/>
          <w:b/>
          <w:sz w:val="22"/>
          <w:lang w:eastAsia="es-CO"/>
        </w:rPr>
      </w:pPr>
    </w:p>
    <w:p w:rsidR="00B4323B" w:rsidRPr="00B4323B" w:rsidRDefault="00B4323B" w:rsidP="00B4323B">
      <w:pPr>
        <w:spacing w:line="240" w:lineRule="auto"/>
        <w:rPr>
          <w:rFonts w:ascii="Segoe UI" w:eastAsia="Times New Roman" w:hAnsi="Segoe UI" w:cs="Segoe UI"/>
          <w:b/>
          <w:sz w:val="22"/>
          <w:lang w:eastAsia="es-CO"/>
        </w:rPr>
      </w:pPr>
    </w:p>
    <w:p w:rsidR="00B4323B" w:rsidRPr="00B4323B" w:rsidRDefault="00B4323B" w:rsidP="00B4323B">
      <w:pPr>
        <w:spacing w:line="240" w:lineRule="auto"/>
        <w:rPr>
          <w:rFonts w:ascii="Segoe UI" w:eastAsia="Times New Roman" w:hAnsi="Segoe UI" w:cs="Segoe UI"/>
          <w:b/>
          <w:sz w:val="22"/>
          <w:lang w:eastAsia="es-CO"/>
        </w:rPr>
      </w:pPr>
      <w:r w:rsidRPr="00B4323B">
        <w:rPr>
          <w:rFonts w:ascii="Segoe UI" w:eastAsia="Times New Roman" w:hAnsi="Segoe UI" w:cs="Segoe UI"/>
          <w:b/>
          <w:sz w:val="22"/>
          <w:lang w:eastAsia="es-CO"/>
        </w:rPr>
        <w:t>El Ministro de Hacienda y Crédito Público,</w:t>
      </w:r>
    </w:p>
    <w:p w:rsidR="00B4323B" w:rsidRPr="00B4323B" w:rsidRDefault="00B4323B" w:rsidP="00B4323B">
      <w:pPr>
        <w:spacing w:line="240" w:lineRule="auto"/>
        <w:jc w:val="right"/>
        <w:rPr>
          <w:rFonts w:ascii="Segoe UI" w:eastAsia="Times New Roman" w:hAnsi="Segoe UI" w:cs="Segoe UI"/>
          <w:b/>
          <w:i/>
          <w:iCs/>
          <w:szCs w:val="24"/>
          <w:lang w:eastAsia="es-CO"/>
        </w:rPr>
      </w:pPr>
    </w:p>
    <w:p w:rsidR="00B4323B" w:rsidRPr="00B4323B" w:rsidRDefault="00B4323B" w:rsidP="00B4323B">
      <w:pPr>
        <w:spacing w:line="240" w:lineRule="auto"/>
        <w:jc w:val="right"/>
        <w:rPr>
          <w:rFonts w:ascii="Segoe UI" w:eastAsia="Times New Roman" w:hAnsi="Segoe UI" w:cs="Segoe UI"/>
          <w:i/>
          <w:iCs/>
          <w:szCs w:val="24"/>
          <w:lang w:eastAsia="es-CO"/>
        </w:rPr>
      </w:pPr>
      <w:r w:rsidRPr="00B4323B">
        <w:rPr>
          <w:rFonts w:ascii="Segoe UI" w:eastAsia="Times New Roman" w:hAnsi="Segoe UI" w:cs="Segoe UI"/>
          <w:i/>
          <w:iCs/>
          <w:szCs w:val="24"/>
          <w:lang w:eastAsia="es-CO"/>
        </w:rPr>
        <w:t>Mauricio Cárdenas Santamaría.</w:t>
      </w:r>
    </w:p>
    <w:p w:rsidR="00B4323B" w:rsidRPr="00B4323B" w:rsidRDefault="00B4323B" w:rsidP="00B4323B">
      <w:pPr>
        <w:spacing w:line="240" w:lineRule="auto"/>
        <w:rPr>
          <w:rFonts w:ascii="Segoe UI" w:eastAsia="Times New Roman" w:hAnsi="Segoe UI" w:cs="Segoe UI"/>
          <w:i/>
          <w:iCs/>
          <w:szCs w:val="24"/>
          <w:lang w:eastAsia="es-CO"/>
        </w:rPr>
      </w:pPr>
    </w:p>
    <w:p w:rsidR="00B4323B" w:rsidRPr="00B4323B" w:rsidRDefault="00B4323B" w:rsidP="00B4323B">
      <w:pPr>
        <w:spacing w:line="240" w:lineRule="auto"/>
        <w:rPr>
          <w:rFonts w:ascii="Segoe UI" w:eastAsia="Times New Roman" w:hAnsi="Segoe UI" w:cs="Segoe UI"/>
          <w:i/>
          <w:iCs/>
          <w:szCs w:val="24"/>
          <w:lang w:eastAsia="es-CO"/>
        </w:rPr>
      </w:pPr>
    </w:p>
    <w:p w:rsidR="00B4323B" w:rsidRPr="00B4323B" w:rsidRDefault="00B4323B" w:rsidP="00B4323B">
      <w:pPr>
        <w:spacing w:line="240" w:lineRule="auto"/>
        <w:rPr>
          <w:rFonts w:ascii="Segoe UI" w:eastAsia="Times New Roman" w:hAnsi="Segoe UI" w:cs="Segoe UI"/>
          <w:b/>
          <w:sz w:val="20"/>
          <w:lang w:eastAsia="es-CO"/>
        </w:rPr>
      </w:pPr>
      <w:r w:rsidRPr="00B4323B">
        <w:rPr>
          <w:rFonts w:ascii="Segoe UI" w:eastAsia="Times New Roman" w:hAnsi="Segoe UI" w:cs="Segoe UI"/>
          <w:b/>
          <w:iCs/>
          <w:sz w:val="20"/>
          <w:lang w:eastAsia="es-CO"/>
        </w:rPr>
        <w:t>Publicado en D.O. 49.001 del 11 de diciembre de 2013.</w:t>
      </w:r>
    </w:p>
    <w:p w:rsidR="00B4323B" w:rsidRPr="00B4323B" w:rsidRDefault="00B4323B" w:rsidP="00B4323B">
      <w:pPr>
        <w:spacing w:after="285" w:line="240" w:lineRule="auto"/>
        <w:rPr>
          <w:rFonts w:ascii="Arial" w:eastAsia="Times New Roman" w:hAnsi="Arial" w:cs="Arial"/>
          <w:sz w:val="18"/>
          <w:szCs w:val="18"/>
          <w:lang w:eastAsia="es-CO"/>
        </w:rPr>
      </w:pPr>
      <w:r w:rsidRPr="00B4323B">
        <w:rPr>
          <w:rFonts w:ascii="Arial" w:eastAsia="Times New Roman" w:hAnsi="Arial" w:cs="Arial"/>
          <w:sz w:val="18"/>
          <w:szCs w:val="18"/>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3B"/>
    <w:rsid w:val="00A067C7"/>
    <w:rsid w:val="00B4323B"/>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59" TargetMode="External"/><Relationship Id="rId13" Type="http://schemas.openxmlformats.org/officeDocument/2006/relationships/hyperlink" Target="http://www.ceta.org.co/html/vista_de_un_articulo.asp?Norma=10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1059" TargetMode="External"/><Relationship Id="rId12" Type="http://schemas.openxmlformats.org/officeDocument/2006/relationships/hyperlink" Target="http://www.ceta.org.co/html/vista_de_un_articulo.asp?Norma=1059" TargetMode="External"/><Relationship Id="rId17" Type="http://schemas.openxmlformats.org/officeDocument/2006/relationships/hyperlink" Target="http://www.ceta.org.co/html/vista_de_un_articulo.asp?Norma=105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059" TargetMode="External"/><Relationship Id="rId1" Type="http://schemas.openxmlformats.org/officeDocument/2006/relationships/styles" Target="styles.xml"/><Relationship Id="rId6" Type="http://schemas.openxmlformats.org/officeDocument/2006/relationships/hyperlink" Target="http://www.ceta.org.co/html/vista_de_un_articulo.asp?Norma=1059" TargetMode="External"/><Relationship Id="rId11" Type="http://schemas.openxmlformats.org/officeDocument/2006/relationships/hyperlink" Target="http://www.ceta.org.co/html/vista_de_un_articulo.asp?Norma=1059" TargetMode="External"/><Relationship Id="rId5" Type="http://schemas.openxmlformats.org/officeDocument/2006/relationships/hyperlink" Target="http://www.ceta.org.co/html/vista_de_un_articulo.asp?Norma=1059" TargetMode="External"/><Relationship Id="rId15" Type="http://schemas.openxmlformats.org/officeDocument/2006/relationships/hyperlink" Target="http://www.ceta.org.co/html/vista_de_un_articulo.asp?Norma=1059" TargetMode="External"/><Relationship Id="rId10" Type="http://schemas.openxmlformats.org/officeDocument/2006/relationships/hyperlink" Target="http://www.ceta.org.co/html/vista_de_un_articulo.asp?Norma=8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519" TargetMode="External"/><Relationship Id="rId14" Type="http://schemas.openxmlformats.org/officeDocument/2006/relationships/hyperlink" Target="http://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2283</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2013-12-15T15:58:00Z</dcterms:created>
  <dcterms:modified xsi:type="dcterms:W3CDTF">2013-12-15T15:59:00Z</dcterms:modified>
</cp:coreProperties>
</file>